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9BC" w:rsidRPr="00D77B0D" w:rsidRDefault="00D77B0D" w:rsidP="00BA69BC">
      <w:pPr>
        <w:pStyle w:val="1"/>
        <w:numPr>
          <w:ilvl w:val="0"/>
          <w:numId w:val="2"/>
        </w:numPr>
        <w:spacing w:before="0" w:after="0"/>
        <w:jc w:val="both"/>
        <w:rPr>
          <w:rFonts w:ascii="Times New Roman" w:hAnsi="Times New Roman"/>
          <w:b w:val="0"/>
          <w:caps/>
          <w:snapToGrid w:val="0"/>
          <w:szCs w:val="28"/>
        </w:rPr>
      </w:pPr>
      <w:r w:rsidRPr="00D77B0D">
        <w:rPr>
          <w:rFonts w:ascii="Times New Roman" w:hAnsi="Times New Roman"/>
          <w:b w:val="0"/>
          <w:snapToGrid w:val="0"/>
          <w:szCs w:val="28"/>
        </w:rPr>
        <w:t xml:space="preserve">Подготовительные процессы </w:t>
      </w:r>
      <w:r w:rsidRPr="00D77B0D">
        <w:rPr>
          <w:rFonts w:ascii="Times New Roman" w:hAnsi="Times New Roman"/>
          <w:b w:val="0"/>
          <w:kern w:val="0"/>
          <w:szCs w:val="28"/>
        </w:rPr>
        <w:t>обогащ</w:t>
      </w:r>
      <w:r w:rsidRPr="00D77B0D">
        <w:rPr>
          <w:rFonts w:ascii="Times New Roman" w:hAnsi="Times New Roman"/>
          <w:b w:val="0"/>
          <w:kern w:val="0"/>
          <w:szCs w:val="28"/>
        </w:rPr>
        <w:t>е</w:t>
      </w:r>
      <w:r w:rsidRPr="00D77B0D">
        <w:rPr>
          <w:rFonts w:ascii="Times New Roman" w:hAnsi="Times New Roman"/>
          <w:b w:val="0"/>
          <w:kern w:val="0"/>
          <w:szCs w:val="28"/>
        </w:rPr>
        <w:t xml:space="preserve">ния </w:t>
      </w:r>
    </w:p>
    <w:p w:rsidR="00BA69BC" w:rsidRPr="00D77B0D" w:rsidRDefault="00D77B0D" w:rsidP="00BA69BC">
      <w:pPr>
        <w:pStyle w:val="2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 w:val="0"/>
          <w:color w:val="auto"/>
          <w:spacing w:val="4"/>
          <w:sz w:val="28"/>
          <w:szCs w:val="28"/>
        </w:rPr>
      </w:pPr>
      <w:r w:rsidRPr="00D77B0D">
        <w:rPr>
          <w:rFonts w:ascii="Times New Roman" w:hAnsi="Times New Roman" w:cs="Times New Roman"/>
          <w:b w:val="0"/>
          <w:color w:val="auto"/>
          <w:spacing w:val="4"/>
          <w:sz w:val="28"/>
          <w:szCs w:val="28"/>
        </w:rPr>
        <w:t>Вспомогательные процессы обогащ</w:t>
      </w:r>
      <w:r w:rsidRPr="00D77B0D">
        <w:rPr>
          <w:rFonts w:ascii="Times New Roman" w:hAnsi="Times New Roman" w:cs="Times New Roman"/>
          <w:b w:val="0"/>
          <w:color w:val="auto"/>
          <w:spacing w:val="4"/>
          <w:sz w:val="28"/>
          <w:szCs w:val="28"/>
        </w:rPr>
        <w:t>е</w:t>
      </w:r>
      <w:r w:rsidRPr="00D77B0D">
        <w:rPr>
          <w:rFonts w:ascii="Times New Roman" w:hAnsi="Times New Roman" w:cs="Times New Roman"/>
          <w:b w:val="0"/>
          <w:color w:val="auto"/>
          <w:spacing w:val="4"/>
          <w:sz w:val="28"/>
          <w:szCs w:val="28"/>
        </w:rPr>
        <w:t>ния</w:t>
      </w:r>
    </w:p>
    <w:p w:rsidR="00BA69BC" w:rsidRPr="00D77B0D" w:rsidRDefault="00D77B0D" w:rsidP="00BA69BC">
      <w:pPr>
        <w:pStyle w:val="2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 w:val="0"/>
          <w:color w:val="auto"/>
          <w:spacing w:val="4"/>
          <w:sz w:val="28"/>
          <w:szCs w:val="28"/>
        </w:rPr>
      </w:pPr>
      <w:r w:rsidRPr="00D77B0D">
        <w:rPr>
          <w:rFonts w:ascii="Times New Roman" w:hAnsi="Times New Roman" w:cs="Times New Roman"/>
          <w:b w:val="0"/>
          <w:color w:val="auto"/>
          <w:spacing w:val="4"/>
          <w:sz w:val="28"/>
          <w:szCs w:val="28"/>
        </w:rPr>
        <w:t>Гранулометрический состав</w:t>
      </w:r>
    </w:p>
    <w:p w:rsidR="00BA69BC" w:rsidRPr="00D77B0D" w:rsidRDefault="00D77B0D" w:rsidP="00BA69B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pacing w:val="4"/>
          <w:sz w:val="28"/>
          <w:szCs w:val="28"/>
        </w:rPr>
        <w:t>Основные пр</w:t>
      </w:r>
      <w:r w:rsidRPr="00D77B0D">
        <w:rPr>
          <w:rFonts w:ascii="Times New Roman" w:hAnsi="Times New Roman" w:cs="Times New Roman"/>
          <w:spacing w:val="4"/>
          <w:sz w:val="28"/>
          <w:szCs w:val="28"/>
        </w:rPr>
        <w:t>о</w:t>
      </w:r>
      <w:r w:rsidRPr="00D77B0D">
        <w:rPr>
          <w:rFonts w:ascii="Times New Roman" w:hAnsi="Times New Roman" w:cs="Times New Roman"/>
          <w:spacing w:val="4"/>
          <w:sz w:val="28"/>
          <w:szCs w:val="28"/>
        </w:rPr>
        <w:t>цессы обогащения</w:t>
      </w:r>
    </w:p>
    <w:p w:rsidR="00BA69BC" w:rsidRPr="00D77B0D" w:rsidRDefault="00D77B0D" w:rsidP="00BA69B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pacing w:val="4"/>
          <w:sz w:val="28"/>
          <w:szCs w:val="28"/>
        </w:rPr>
        <w:t>Гравитационные методы обогащ</w:t>
      </w:r>
      <w:r w:rsidRPr="00D77B0D">
        <w:rPr>
          <w:rFonts w:ascii="Times New Roman" w:hAnsi="Times New Roman" w:cs="Times New Roman"/>
          <w:spacing w:val="4"/>
          <w:sz w:val="28"/>
          <w:szCs w:val="28"/>
        </w:rPr>
        <w:t>е</w:t>
      </w:r>
      <w:r w:rsidRPr="00D77B0D">
        <w:rPr>
          <w:rFonts w:ascii="Times New Roman" w:hAnsi="Times New Roman" w:cs="Times New Roman"/>
          <w:spacing w:val="4"/>
          <w:sz w:val="28"/>
          <w:szCs w:val="28"/>
        </w:rPr>
        <w:t xml:space="preserve">ния </w:t>
      </w:r>
    </w:p>
    <w:p w:rsidR="00BA69BC" w:rsidRPr="00D77B0D" w:rsidRDefault="00D77B0D" w:rsidP="00BA69B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pacing w:val="4"/>
          <w:sz w:val="28"/>
          <w:szCs w:val="28"/>
        </w:rPr>
        <w:t>Флотационные</w:t>
      </w:r>
      <w:r w:rsidRPr="00D77B0D">
        <w:rPr>
          <w:rFonts w:ascii="Times New Roman" w:hAnsi="Times New Roman" w:cs="Times New Roman"/>
          <w:i/>
          <w:spacing w:val="4"/>
          <w:sz w:val="28"/>
          <w:szCs w:val="28"/>
        </w:rPr>
        <w:t xml:space="preserve"> </w:t>
      </w:r>
      <w:r w:rsidRPr="00D77B0D">
        <w:rPr>
          <w:rFonts w:ascii="Times New Roman" w:hAnsi="Times New Roman" w:cs="Times New Roman"/>
          <w:spacing w:val="4"/>
          <w:sz w:val="28"/>
          <w:szCs w:val="28"/>
        </w:rPr>
        <w:t>методы об</w:t>
      </w:r>
      <w:r w:rsidRPr="00D77B0D">
        <w:rPr>
          <w:rFonts w:ascii="Times New Roman" w:hAnsi="Times New Roman" w:cs="Times New Roman"/>
          <w:spacing w:val="4"/>
          <w:sz w:val="28"/>
          <w:szCs w:val="28"/>
        </w:rPr>
        <w:t>о</w:t>
      </w:r>
      <w:r w:rsidRPr="00D77B0D">
        <w:rPr>
          <w:rFonts w:ascii="Times New Roman" w:hAnsi="Times New Roman" w:cs="Times New Roman"/>
          <w:spacing w:val="4"/>
          <w:sz w:val="28"/>
          <w:szCs w:val="28"/>
        </w:rPr>
        <w:t>гащения</w:t>
      </w:r>
    </w:p>
    <w:p w:rsidR="00BA69BC" w:rsidRPr="00D77B0D" w:rsidRDefault="00D77B0D" w:rsidP="00BA69B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pacing w:val="4"/>
          <w:sz w:val="28"/>
          <w:szCs w:val="28"/>
        </w:rPr>
        <w:t>Магнитные методы обогащения</w:t>
      </w:r>
    </w:p>
    <w:p w:rsidR="00BA69BC" w:rsidRPr="00D77B0D" w:rsidRDefault="00D77B0D" w:rsidP="00BA69B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pacing w:val="4"/>
          <w:sz w:val="28"/>
          <w:szCs w:val="28"/>
        </w:rPr>
        <w:t>Электрические м</w:t>
      </w:r>
      <w:r w:rsidRPr="00D77B0D">
        <w:rPr>
          <w:rFonts w:ascii="Times New Roman" w:hAnsi="Times New Roman" w:cs="Times New Roman"/>
          <w:spacing w:val="4"/>
          <w:sz w:val="28"/>
          <w:szCs w:val="28"/>
        </w:rPr>
        <w:t>е</w:t>
      </w:r>
      <w:r w:rsidRPr="00D77B0D">
        <w:rPr>
          <w:rFonts w:ascii="Times New Roman" w:hAnsi="Times New Roman" w:cs="Times New Roman"/>
          <w:spacing w:val="4"/>
          <w:sz w:val="28"/>
          <w:szCs w:val="28"/>
        </w:rPr>
        <w:t>тоды обогащения</w:t>
      </w:r>
    </w:p>
    <w:p w:rsidR="00BA69BC" w:rsidRPr="00D77B0D" w:rsidRDefault="00D77B0D" w:rsidP="00BA69B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pacing w:val="4"/>
          <w:sz w:val="28"/>
          <w:szCs w:val="28"/>
        </w:rPr>
        <w:t>Специальные методы обогащения</w:t>
      </w:r>
    </w:p>
    <w:p w:rsidR="00BA69BC" w:rsidRPr="00D77B0D" w:rsidRDefault="00D77B0D" w:rsidP="00BA69B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pacing w:val="4"/>
          <w:sz w:val="28"/>
          <w:szCs w:val="28"/>
        </w:rPr>
        <w:t>Комбинированные методы обогащения</w:t>
      </w:r>
    </w:p>
    <w:p w:rsidR="00BA69BC" w:rsidRPr="00D77B0D" w:rsidRDefault="00D77B0D" w:rsidP="00BA69BC">
      <w:pPr>
        <w:pStyle w:val="2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 w:val="0"/>
          <w:color w:val="auto"/>
          <w:spacing w:val="4"/>
          <w:sz w:val="28"/>
          <w:szCs w:val="28"/>
        </w:rPr>
      </w:pPr>
      <w:r w:rsidRPr="00D77B0D">
        <w:rPr>
          <w:rFonts w:ascii="Times New Roman" w:hAnsi="Times New Roman" w:cs="Times New Roman"/>
          <w:b w:val="0"/>
          <w:color w:val="auto"/>
          <w:spacing w:val="4"/>
          <w:sz w:val="28"/>
          <w:szCs w:val="28"/>
        </w:rPr>
        <w:t>Вспомогательные процессы обогащ</w:t>
      </w:r>
      <w:r w:rsidRPr="00D77B0D">
        <w:rPr>
          <w:rFonts w:ascii="Times New Roman" w:hAnsi="Times New Roman" w:cs="Times New Roman"/>
          <w:b w:val="0"/>
          <w:color w:val="auto"/>
          <w:spacing w:val="4"/>
          <w:sz w:val="28"/>
          <w:szCs w:val="28"/>
        </w:rPr>
        <w:t>е</w:t>
      </w:r>
      <w:r w:rsidRPr="00D77B0D">
        <w:rPr>
          <w:rFonts w:ascii="Times New Roman" w:hAnsi="Times New Roman" w:cs="Times New Roman"/>
          <w:b w:val="0"/>
          <w:color w:val="auto"/>
          <w:spacing w:val="4"/>
          <w:sz w:val="28"/>
          <w:szCs w:val="28"/>
        </w:rPr>
        <w:t>ния</w:t>
      </w:r>
    </w:p>
    <w:p w:rsidR="00BA69BC" w:rsidRPr="00D77B0D" w:rsidRDefault="00D77B0D" w:rsidP="00BA69B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77B0D">
        <w:rPr>
          <w:rFonts w:ascii="Times New Roman" w:hAnsi="Times New Roman" w:cs="Times New Roman"/>
          <w:sz w:val="28"/>
          <w:szCs w:val="28"/>
        </w:rPr>
        <w:t xml:space="preserve">организация производства и управление на обогатительных фабриках </w:t>
      </w:r>
    </w:p>
    <w:p w:rsidR="00BA69BC" w:rsidRPr="00D77B0D" w:rsidRDefault="00D77B0D" w:rsidP="00BA69B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z w:val="28"/>
          <w:szCs w:val="28"/>
        </w:rPr>
        <w:t xml:space="preserve">Технология обогащения руд редких, цветных, черных металлов, </w:t>
      </w:r>
      <w:proofErr w:type="spellStart"/>
      <w:r w:rsidRPr="00D77B0D">
        <w:rPr>
          <w:rFonts w:ascii="Times New Roman" w:hAnsi="Times New Roman" w:cs="Times New Roman"/>
          <w:sz w:val="28"/>
          <w:szCs w:val="28"/>
        </w:rPr>
        <w:t>горнохимического</w:t>
      </w:r>
      <w:proofErr w:type="spellEnd"/>
      <w:r w:rsidRPr="00D77B0D">
        <w:rPr>
          <w:rFonts w:ascii="Times New Roman" w:hAnsi="Times New Roman" w:cs="Times New Roman"/>
          <w:sz w:val="28"/>
          <w:szCs w:val="28"/>
        </w:rPr>
        <w:t xml:space="preserve"> сырья, нерудных полезных ископаемых и углей</w:t>
      </w:r>
    </w:p>
    <w:p w:rsidR="00BA69BC" w:rsidRPr="00D77B0D" w:rsidRDefault="00D77B0D" w:rsidP="00BA69B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z w:val="28"/>
          <w:szCs w:val="28"/>
        </w:rPr>
        <w:t xml:space="preserve"> основные типы месторождений полезных ископаемых</w:t>
      </w:r>
    </w:p>
    <w:p w:rsidR="00BA69BC" w:rsidRPr="00D77B0D" w:rsidRDefault="00D77B0D" w:rsidP="00BA69B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z w:val="28"/>
          <w:szCs w:val="28"/>
        </w:rPr>
        <w:t xml:space="preserve">Кондиции на минеральное сырье и продукты обогащения </w:t>
      </w:r>
    </w:p>
    <w:p w:rsidR="00D77B0D" w:rsidRPr="00D77B0D" w:rsidRDefault="00D77B0D" w:rsidP="00BA69B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z w:val="28"/>
          <w:szCs w:val="28"/>
        </w:rPr>
        <w:t xml:space="preserve">Характеристика основных типов горно-химического сырья </w:t>
      </w:r>
    </w:p>
    <w:p w:rsidR="00D77B0D" w:rsidRPr="00D77B0D" w:rsidRDefault="00D77B0D" w:rsidP="00BA69B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z w:val="28"/>
          <w:szCs w:val="28"/>
        </w:rPr>
        <w:t xml:space="preserve"> роль и задачи технологического картирования. </w:t>
      </w:r>
    </w:p>
    <w:p w:rsidR="00D77B0D" w:rsidRPr="00D77B0D" w:rsidRDefault="00D77B0D" w:rsidP="00BA69B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z w:val="28"/>
          <w:szCs w:val="28"/>
        </w:rPr>
        <w:t xml:space="preserve"> технико-экономическая оценка технологических схем обогащения </w:t>
      </w:r>
    </w:p>
    <w:p w:rsidR="00D77B0D" w:rsidRPr="00D77B0D" w:rsidRDefault="00D77B0D" w:rsidP="00BA69B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z w:val="28"/>
          <w:szCs w:val="28"/>
        </w:rPr>
        <w:t xml:space="preserve">Влияние вещественного состава руд на показатели обогащения. </w:t>
      </w:r>
    </w:p>
    <w:p w:rsidR="00D77B0D" w:rsidRPr="00D77B0D" w:rsidRDefault="00D77B0D" w:rsidP="00BA69B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z w:val="28"/>
          <w:szCs w:val="28"/>
        </w:rPr>
        <w:t xml:space="preserve"> экономическая эффективность переработки строительных горных пород. </w:t>
      </w:r>
    </w:p>
    <w:p w:rsidR="00D77B0D" w:rsidRPr="00D77B0D" w:rsidRDefault="00D77B0D" w:rsidP="00BA69B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D77B0D">
        <w:rPr>
          <w:rFonts w:ascii="Times New Roman" w:hAnsi="Times New Roman" w:cs="Times New Roman"/>
          <w:sz w:val="28"/>
          <w:szCs w:val="28"/>
        </w:rPr>
        <w:t>Качественная и технологическая характеристика основных типов руд черных металлов</w:t>
      </w:r>
    </w:p>
    <w:p w:rsidR="00BA69BC" w:rsidRPr="00D77B0D" w:rsidRDefault="00BA69BC" w:rsidP="00BA69B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A69BC" w:rsidRPr="00D77B0D" w:rsidRDefault="00BA69BC" w:rsidP="00BA69B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A69BC" w:rsidRPr="00D77B0D" w:rsidRDefault="00BA69BC" w:rsidP="00BA69B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A69BC" w:rsidRPr="00D77B0D" w:rsidRDefault="00BA69BC" w:rsidP="00BA69B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A69BC" w:rsidRPr="00D77B0D" w:rsidRDefault="00BA69BC" w:rsidP="00BA69BC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A69BC" w:rsidRPr="00D77B0D" w:rsidRDefault="00D77B0D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Презентация (критерии оценки презентации) </w:t>
      </w:r>
    </w:p>
    <w:p w:rsidR="00BA69BC" w:rsidRPr="00D77B0D" w:rsidRDefault="00D77B0D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1.содержание </w:t>
      </w:r>
    </w:p>
    <w:p w:rsidR="00BA69BC" w:rsidRPr="00D77B0D" w:rsidRDefault="00D77B0D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2. Сформулирована цель работы  </w:t>
      </w:r>
    </w:p>
    <w:p w:rsidR="00BA69BC" w:rsidRPr="00D77B0D" w:rsidRDefault="00D77B0D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3. Понятны задачи и ход работы </w:t>
      </w:r>
    </w:p>
    <w:p w:rsidR="00BA69BC" w:rsidRPr="00D77B0D" w:rsidRDefault="00D77B0D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4. Информация изложена полно и четко </w:t>
      </w:r>
    </w:p>
    <w:p w:rsidR="00D77B0D" w:rsidRPr="00D77B0D" w:rsidRDefault="00D77B0D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5.иллюстрации усиливают эффект восприятия текстовой части информации </w:t>
      </w:r>
    </w:p>
    <w:p w:rsidR="00D77B0D" w:rsidRPr="00D77B0D" w:rsidRDefault="00D77B0D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6.сделаны выводы </w:t>
      </w:r>
    </w:p>
    <w:p w:rsidR="00D77B0D" w:rsidRPr="00D77B0D" w:rsidRDefault="00D77B0D" w:rsidP="00BA69B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7.оформление презентации </w:t>
      </w:r>
    </w:p>
    <w:p w:rsidR="00D77B0D" w:rsidRPr="00D77B0D" w:rsidRDefault="00D77B0D" w:rsidP="00BA69BC">
      <w:pPr>
        <w:pStyle w:val="a3"/>
        <w:rPr>
          <w:rFonts w:ascii="Times New Roman" w:hAnsi="Times New Roman" w:cs="Times New Roman"/>
          <w:sz w:val="28"/>
          <w:szCs w:val="28"/>
        </w:rPr>
      </w:pPr>
      <w:r w:rsidRPr="00D77B0D">
        <w:rPr>
          <w:rFonts w:ascii="Times New Roman" w:hAnsi="Times New Roman" w:cs="Times New Roman"/>
          <w:sz w:val="28"/>
          <w:szCs w:val="28"/>
        </w:rPr>
        <w:lastRenderedPageBreak/>
        <w:t xml:space="preserve">8. Единый стиль оформления </w:t>
      </w:r>
    </w:p>
    <w:p w:rsidR="00D77B0D" w:rsidRPr="00D77B0D" w:rsidRDefault="00D77B0D" w:rsidP="00D77B0D">
      <w:pPr>
        <w:pStyle w:val="a3"/>
        <w:rPr>
          <w:rFonts w:ascii="Times New Roman" w:hAnsi="Times New Roman" w:cs="Times New Roman"/>
          <w:sz w:val="28"/>
          <w:szCs w:val="28"/>
        </w:rPr>
      </w:pPr>
      <w:r w:rsidRPr="00D77B0D">
        <w:rPr>
          <w:rFonts w:ascii="Times New Roman" w:hAnsi="Times New Roman" w:cs="Times New Roman"/>
          <w:sz w:val="28"/>
          <w:szCs w:val="28"/>
        </w:rPr>
        <w:t xml:space="preserve">9.текст легко читается, фон сочетается с текстом и графикой </w:t>
      </w:r>
    </w:p>
    <w:p w:rsidR="00D77B0D" w:rsidRPr="00D77B0D" w:rsidRDefault="00D77B0D" w:rsidP="00D77B0D">
      <w:pPr>
        <w:pStyle w:val="a3"/>
        <w:rPr>
          <w:rFonts w:ascii="Times New Roman" w:hAnsi="Times New Roman" w:cs="Times New Roman"/>
          <w:sz w:val="28"/>
          <w:szCs w:val="28"/>
        </w:rPr>
      </w:pPr>
      <w:r w:rsidRPr="00D77B0D">
        <w:rPr>
          <w:rFonts w:ascii="Times New Roman" w:hAnsi="Times New Roman" w:cs="Times New Roman"/>
          <w:sz w:val="28"/>
          <w:szCs w:val="28"/>
        </w:rPr>
        <w:t xml:space="preserve">10.все параметры шрифта хорошо подобраны, размер шрифта оптимальный и одинаковый на всех слайдах </w:t>
      </w:r>
    </w:p>
    <w:p w:rsidR="00D77B0D" w:rsidRPr="00D77B0D" w:rsidRDefault="00D77B0D" w:rsidP="00D77B0D">
      <w:pPr>
        <w:pStyle w:val="a3"/>
        <w:rPr>
          <w:rFonts w:ascii="Times New Roman" w:hAnsi="Times New Roman" w:cs="Times New Roman"/>
          <w:sz w:val="28"/>
          <w:szCs w:val="28"/>
        </w:rPr>
      </w:pPr>
      <w:r w:rsidRPr="00D77B0D">
        <w:rPr>
          <w:rFonts w:ascii="Times New Roman" w:hAnsi="Times New Roman" w:cs="Times New Roman"/>
          <w:sz w:val="28"/>
          <w:szCs w:val="28"/>
        </w:rPr>
        <w:t xml:space="preserve">11.ключевые слова в тексте выделены </w:t>
      </w:r>
    </w:p>
    <w:p w:rsidR="00D77B0D" w:rsidRPr="00D77B0D" w:rsidRDefault="00D77B0D" w:rsidP="00D77B0D">
      <w:pPr>
        <w:pStyle w:val="a3"/>
        <w:rPr>
          <w:rFonts w:ascii="Times New Roman" w:hAnsi="Times New Roman" w:cs="Times New Roman"/>
          <w:sz w:val="28"/>
          <w:szCs w:val="28"/>
        </w:rPr>
      </w:pPr>
      <w:r w:rsidRPr="00D77B0D">
        <w:rPr>
          <w:rFonts w:ascii="Times New Roman" w:hAnsi="Times New Roman" w:cs="Times New Roman"/>
          <w:sz w:val="28"/>
          <w:szCs w:val="28"/>
        </w:rPr>
        <w:t xml:space="preserve">12.эффект презентации </w:t>
      </w:r>
    </w:p>
    <w:p w:rsidR="00BA69BC" w:rsidRPr="00D77B0D" w:rsidRDefault="00D77B0D" w:rsidP="00D77B0D">
      <w:pPr>
        <w:pStyle w:val="a3"/>
        <w:rPr>
          <w:rFonts w:ascii="Times New Roman" w:hAnsi="Times New Roman" w:cs="Times New Roman"/>
          <w:sz w:val="28"/>
          <w:szCs w:val="28"/>
        </w:rPr>
      </w:pPr>
      <w:r w:rsidRPr="00D77B0D">
        <w:rPr>
          <w:rFonts w:ascii="Times New Roman" w:hAnsi="Times New Roman" w:cs="Times New Roman"/>
          <w:sz w:val="28"/>
          <w:szCs w:val="28"/>
        </w:rPr>
        <w:t xml:space="preserve">13.общее впечатление от просмотра презентации </w:t>
      </w:r>
    </w:p>
    <w:sectPr w:rsidR="00BA69BC" w:rsidRPr="00D77B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714F1"/>
    <w:multiLevelType w:val="hybridMultilevel"/>
    <w:tmpl w:val="045473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3407F3"/>
    <w:multiLevelType w:val="hybridMultilevel"/>
    <w:tmpl w:val="09AC8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878"/>
    <w:rsid w:val="002B1785"/>
    <w:rsid w:val="007A7A5E"/>
    <w:rsid w:val="00921F4E"/>
    <w:rsid w:val="00A23918"/>
    <w:rsid w:val="00BA69BC"/>
    <w:rsid w:val="00BA6FBE"/>
    <w:rsid w:val="00CD4878"/>
    <w:rsid w:val="00D14320"/>
    <w:rsid w:val="00D77B0D"/>
    <w:rsid w:val="00F50EE7"/>
    <w:rsid w:val="00FF6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A69BC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69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69BC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BA69BC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A69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A69BC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69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69BC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BA69BC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A69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Нурбаева</dc:creator>
  <cp:keywords/>
  <dc:description/>
  <cp:lastModifiedBy>Айнур Нурбаева</cp:lastModifiedBy>
  <cp:revision>2</cp:revision>
  <dcterms:created xsi:type="dcterms:W3CDTF">2021-03-11T05:00:00Z</dcterms:created>
  <dcterms:modified xsi:type="dcterms:W3CDTF">2021-03-11T05:18:00Z</dcterms:modified>
</cp:coreProperties>
</file>